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A5" w:rsidRDefault="00487C23" w:rsidP="002E1C0D">
      <w:pPr>
        <w:rPr>
          <w:b/>
          <w:sz w:val="28"/>
        </w:rPr>
      </w:pPr>
      <w:r>
        <w:rPr>
          <w:noProof/>
          <w:lang w:eastAsia="hr-HR"/>
        </w:rPr>
        <w:drawing>
          <wp:anchor distT="0" distB="0" distL="114300" distR="114300" simplePos="0" relativeHeight="251657215" behindDoc="0" locked="0" layoutInCell="1" allowOverlap="1" wp14:anchorId="4DDC2E96" wp14:editId="12F40E61">
            <wp:simplePos x="0" y="0"/>
            <wp:positionH relativeFrom="column">
              <wp:posOffset>393700</wp:posOffset>
            </wp:positionH>
            <wp:positionV relativeFrom="paragraph">
              <wp:posOffset>0</wp:posOffset>
            </wp:positionV>
            <wp:extent cx="6252210" cy="6252210"/>
            <wp:effectExtent l="0" t="0" r="0" b="0"/>
            <wp:wrapNone/>
            <wp:docPr id="9" name="Slika 9" descr="https://primary.jwwb.nl/public/z/u/y/temp-bijbbduofjjtdtyrxqvy/slider-engeneering-transp-high.png?enable-io=true&amp;enable=upscale&amp;crop=1%3A1%2Coffset-x80&amp;width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imary.jwwb.nl/public/z/u/y/temp-bijbbduofjjtdtyrxqvy/slider-engeneering-transp-high.png?enable-io=true&amp;enable=upscale&amp;crop=1%3A1%2Coffset-x80&amp;width=8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62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BA5" w:rsidRDefault="00487C23" w:rsidP="002E1C0D">
      <w:pPr>
        <w:rPr>
          <w:b/>
          <w:sz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04FE2" wp14:editId="24557A14">
                <wp:simplePos x="0" y="0"/>
                <wp:positionH relativeFrom="column">
                  <wp:posOffset>101600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544D" w:rsidRDefault="007D544D" w:rsidP="00487C23">
                            <w:pPr>
                              <w:ind w:left="3544"/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7C23">
                              <w:rPr>
                                <w:rFonts w:ascii="Arial Black" w:hAnsi="Arial Black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MATERIJALI U INSTALACIJKOJ TEHNICI</w:t>
                            </w:r>
                          </w:p>
                          <w:p w:rsidR="00F83019" w:rsidRPr="00F83019" w:rsidRDefault="00F83019" w:rsidP="00F83019">
                            <w:pPr>
                              <w:pStyle w:val="Odlomakpopisa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3019">
                              <w:rPr>
                                <w:rFonts w:ascii="Arial Black" w:hAnsi="Arial Black"/>
                                <w:color w:val="1F4E79" w:themeColor="accent1" w:themeShade="8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Željezni materijali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04FE2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margin-left:8pt;margin-top: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" filled="f" stroked="f">
                <v:textbox style="mso-fit-shape-to-text:t">
                  <w:txbxContent>
                    <w:p w:rsidR="007D544D" w:rsidRDefault="007D544D" w:rsidP="00487C23">
                      <w:pPr>
                        <w:ind w:left="3544"/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87C23">
                        <w:rPr>
                          <w:rFonts w:ascii="Arial Black" w:hAnsi="Arial Black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MATERIJALI U INSTALACIJKOJ TEHNICI</w:t>
                      </w:r>
                    </w:p>
                    <w:p w:rsidR="00F83019" w:rsidRPr="00F83019" w:rsidRDefault="00F83019" w:rsidP="00F83019">
                      <w:pPr>
                        <w:pStyle w:val="Odlomakpopisa"/>
                        <w:numPr>
                          <w:ilvl w:val="0"/>
                          <w:numId w:val="27"/>
                        </w:numPr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3019">
                        <w:rPr>
                          <w:rFonts w:ascii="Arial Black" w:hAnsi="Arial Black"/>
                          <w:color w:val="1F4E79" w:themeColor="accent1" w:themeShade="8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Željezni materijali</w:t>
                      </w:r>
                    </w:p>
                  </w:txbxContent>
                </v:textbox>
              </v:shape>
            </w:pict>
          </mc:Fallback>
        </mc:AlternateContent>
      </w: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487C23" w:rsidRDefault="00487C23" w:rsidP="00487C23">
      <w:pPr>
        <w:ind w:left="709"/>
        <w:rPr>
          <w:b/>
          <w:sz w:val="28"/>
        </w:rPr>
      </w:pPr>
      <w:r>
        <w:rPr>
          <w:b/>
          <w:sz w:val="28"/>
        </w:rPr>
        <w:t xml:space="preserve">Gradivo ove skripte je preuzeto iz priručnika: </w:t>
      </w:r>
    </w:p>
    <w:p w:rsidR="00BA5BA5" w:rsidRDefault="00487C23" w:rsidP="00487C23">
      <w:pPr>
        <w:ind w:left="709"/>
        <w:rPr>
          <w:b/>
          <w:sz w:val="28"/>
        </w:rPr>
      </w:pPr>
      <w:r>
        <w:rPr>
          <w:b/>
          <w:sz w:val="28"/>
        </w:rPr>
        <w:t>„OSNOVE TEHNIKE, INSTALACIJA VODE I PLINA, 2. izdanje“.</w:t>
      </w:r>
    </w:p>
    <w:p w:rsidR="00487C23" w:rsidRDefault="00487C23" w:rsidP="00487C23">
      <w:pPr>
        <w:ind w:left="709"/>
        <w:rPr>
          <w:b/>
          <w:sz w:val="28"/>
        </w:rPr>
      </w:pPr>
      <w:r>
        <w:rPr>
          <w:b/>
          <w:sz w:val="28"/>
        </w:rPr>
        <w:t xml:space="preserve">Autor i koordinator: Boris </w:t>
      </w:r>
      <w:proofErr w:type="spellStart"/>
      <w:r>
        <w:rPr>
          <w:b/>
          <w:sz w:val="28"/>
        </w:rPr>
        <w:t>Labudović</w:t>
      </w:r>
      <w:proofErr w:type="spellEnd"/>
      <w:r>
        <w:rPr>
          <w:b/>
          <w:sz w:val="28"/>
        </w:rPr>
        <w:t xml:space="preserve">, dipl. </w:t>
      </w:r>
      <w:proofErr w:type="spellStart"/>
      <w:r>
        <w:rPr>
          <w:b/>
          <w:sz w:val="28"/>
        </w:rPr>
        <w:t>ing</w:t>
      </w:r>
      <w:proofErr w:type="spellEnd"/>
    </w:p>
    <w:p w:rsidR="00487C23" w:rsidRDefault="00487C23" w:rsidP="00487C23">
      <w:pPr>
        <w:ind w:left="709"/>
        <w:rPr>
          <w:b/>
          <w:sz w:val="28"/>
        </w:rPr>
      </w:pPr>
      <w:r>
        <w:rPr>
          <w:b/>
          <w:sz w:val="28"/>
        </w:rPr>
        <w:t>Nakladnik: Energetika marketing d.o.o.</w:t>
      </w:r>
    </w:p>
    <w:p w:rsidR="00487C23" w:rsidRPr="00487C23" w:rsidRDefault="00AD52B7" w:rsidP="00487C23">
      <w:pPr>
        <w:ind w:left="709"/>
        <w:rPr>
          <w:sz w:val="16"/>
        </w:rPr>
      </w:pPr>
      <w:hyperlink r:id="rId9" w:history="1">
        <w:r w:rsidR="00487C23" w:rsidRPr="00487C23">
          <w:rPr>
            <w:rStyle w:val="Hiperveza"/>
            <w:sz w:val="16"/>
          </w:rPr>
          <w:t>https://strucnaknjizara.com/products/osnove-tehnike-instalacija-vode-i-plina-3-izdanje-skupina-autora?srsltid=AfmBOoqVov6VK6jbvrQKQdkl2hVOPZWbyzwo4yie7wS7Vc25po2PglJx</w:t>
        </w:r>
      </w:hyperlink>
    </w:p>
    <w:p w:rsidR="00487C23" w:rsidRDefault="00487C23" w:rsidP="00487C23">
      <w:pPr>
        <w:ind w:left="709"/>
        <w:rPr>
          <w:b/>
          <w:sz w:val="28"/>
        </w:rPr>
      </w:pPr>
    </w:p>
    <w:p w:rsidR="00487C23" w:rsidRDefault="00487C23" w:rsidP="00487C23">
      <w:pPr>
        <w:ind w:left="709"/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p w:rsidR="00BA5BA5" w:rsidRDefault="00BA5BA5" w:rsidP="002E1C0D">
      <w:pPr>
        <w:rPr>
          <w:b/>
          <w:sz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16"/>
          <w:szCs w:val="16"/>
          <w:lang w:eastAsia="en-US"/>
        </w:rPr>
        <w:id w:val="-196534016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7C4068" w:rsidRPr="007C4068" w:rsidRDefault="007C4068">
          <w:pPr>
            <w:pStyle w:val="TOCNaslov"/>
            <w:rPr>
              <w:sz w:val="16"/>
              <w:szCs w:val="16"/>
            </w:rPr>
          </w:pPr>
          <w:r w:rsidRPr="007C4068">
            <w:rPr>
              <w:sz w:val="16"/>
              <w:szCs w:val="16"/>
            </w:rPr>
            <w:t>Sadržaj</w:t>
          </w:r>
        </w:p>
        <w:p w:rsidR="00AD52B7" w:rsidRDefault="007C4068">
          <w:pPr>
            <w:pStyle w:val="Sadraj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hr-HR"/>
            </w:rPr>
          </w:pPr>
          <w:r w:rsidRPr="007C4068">
            <w:rPr>
              <w:sz w:val="16"/>
              <w:szCs w:val="16"/>
            </w:rPr>
            <w:fldChar w:fldCharType="begin"/>
          </w:r>
          <w:r w:rsidRPr="007C4068">
            <w:rPr>
              <w:sz w:val="16"/>
              <w:szCs w:val="16"/>
            </w:rPr>
            <w:instrText xml:space="preserve"> TOC \o "1-3" \h \z \u </w:instrText>
          </w:r>
          <w:r w:rsidRPr="007C4068">
            <w:rPr>
              <w:sz w:val="16"/>
              <w:szCs w:val="16"/>
            </w:rPr>
            <w:fldChar w:fldCharType="separate"/>
          </w:r>
          <w:hyperlink w:anchor="_Toc213191485" w:history="1">
            <w:r w:rsidR="00AD52B7" w:rsidRPr="005151A5">
              <w:rPr>
                <w:rStyle w:val="Hiperveza"/>
                <w:noProof/>
              </w:rPr>
              <w:t>1.</w:t>
            </w:r>
            <w:r w:rsidR="00AD52B7">
              <w:rPr>
                <w:rFonts w:eastAsiaTheme="minorEastAsia"/>
                <w:noProof/>
                <w:lang w:eastAsia="hr-HR"/>
              </w:rPr>
              <w:tab/>
            </w:r>
            <w:r w:rsidR="00AD52B7" w:rsidRPr="005151A5">
              <w:rPr>
                <w:rStyle w:val="Hiperveza"/>
                <w:noProof/>
              </w:rPr>
              <w:t>ŽELJEZNI MATERIJALI</w:t>
            </w:r>
            <w:r w:rsidR="00AD52B7">
              <w:rPr>
                <w:noProof/>
                <w:webHidden/>
              </w:rPr>
              <w:tab/>
            </w:r>
            <w:r w:rsidR="00AD52B7">
              <w:rPr>
                <w:noProof/>
                <w:webHidden/>
              </w:rPr>
              <w:fldChar w:fldCharType="begin"/>
            </w:r>
            <w:r w:rsidR="00AD52B7">
              <w:rPr>
                <w:noProof/>
                <w:webHidden/>
              </w:rPr>
              <w:instrText xml:space="preserve"> PAGEREF _Toc213191485 \h </w:instrText>
            </w:r>
            <w:r w:rsidR="00AD52B7">
              <w:rPr>
                <w:noProof/>
                <w:webHidden/>
              </w:rPr>
            </w:r>
            <w:r w:rsidR="00AD52B7">
              <w:rPr>
                <w:noProof/>
                <w:webHidden/>
              </w:rPr>
              <w:fldChar w:fldCharType="separate"/>
            </w:r>
            <w:r w:rsidR="00AD52B7">
              <w:rPr>
                <w:noProof/>
                <w:webHidden/>
              </w:rPr>
              <w:t>3</w:t>
            </w:r>
            <w:r w:rsidR="00AD52B7">
              <w:rPr>
                <w:noProof/>
                <w:webHidden/>
              </w:rPr>
              <w:fldChar w:fldCharType="end"/>
            </w:r>
          </w:hyperlink>
        </w:p>
        <w:p w:rsidR="00AD52B7" w:rsidRDefault="00AD52B7">
          <w:pPr>
            <w:pStyle w:val="Sadraj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lang w:eastAsia="hr-HR"/>
            </w:rPr>
          </w:pPr>
          <w:hyperlink w:anchor="_Toc213191486" w:history="1">
            <w:r w:rsidRPr="005151A5">
              <w:rPr>
                <w:rStyle w:val="Hiperveza"/>
                <w:noProof/>
              </w:rPr>
              <w:t>1.1.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5151A5">
              <w:rPr>
                <w:rStyle w:val="Hiperveza"/>
                <w:noProof/>
              </w:rPr>
              <w:t>Čelici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_Toc213191486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D52B7" w:rsidRDefault="00AD52B7">
          <w:pPr>
            <w:pStyle w:val="Sadraj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lang w:eastAsia="hr-HR"/>
            </w:rPr>
          </w:pPr>
          <w:hyperlink w:anchor="_Toc213191487" w:history="1">
            <w:r w:rsidRPr="005151A5">
              <w:rPr>
                <w:rStyle w:val="Hiperveza"/>
                <w:noProof/>
              </w:rPr>
              <w:t>1.2.</w:t>
            </w:r>
            <w:r>
              <w:rPr>
                <w:rFonts w:eastAsiaTheme="minorEastAsia"/>
                <w:noProof/>
                <w:lang w:eastAsia="hr-HR"/>
              </w:rPr>
              <w:tab/>
            </w:r>
            <w:r w:rsidRPr="005151A5">
              <w:rPr>
                <w:rStyle w:val="Hiperveza"/>
                <w:noProof/>
              </w:rPr>
              <w:t>Željezni lijevovi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_Toc213191487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68" w:rsidRDefault="007C4068">
          <w:r w:rsidRPr="007C4068">
            <w:rPr>
              <w:b/>
              <w:bCs/>
              <w:sz w:val="16"/>
              <w:szCs w:val="16"/>
            </w:rPr>
            <w:fldChar w:fldCharType="end"/>
          </w:r>
        </w:p>
      </w:sdtContent>
    </w:sdt>
    <w:p w:rsidR="00F107E6" w:rsidRDefault="00F107E6" w:rsidP="002E1C0D">
      <w:pPr>
        <w:rPr>
          <w:b/>
          <w:sz w:val="28"/>
        </w:rPr>
      </w:pPr>
      <w:bookmarkStart w:id="0" w:name="_GoBack"/>
      <w:bookmarkEnd w:id="0"/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F107E6" w:rsidRDefault="00F107E6" w:rsidP="002E1C0D">
      <w:pPr>
        <w:rPr>
          <w:b/>
          <w:sz w:val="28"/>
        </w:rPr>
      </w:pPr>
    </w:p>
    <w:p w:rsidR="00BC1433" w:rsidRPr="002E1C0D" w:rsidRDefault="00BC1433" w:rsidP="00F107E6">
      <w:pPr>
        <w:pStyle w:val="Naslov1"/>
        <w:numPr>
          <w:ilvl w:val="0"/>
          <w:numId w:val="26"/>
        </w:numPr>
      </w:pPr>
      <w:bookmarkStart w:id="1" w:name="_Toc213191485"/>
      <w:r w:rsidRPr="002E1C0D">
        <w:lastRenderedPageBreak/>
        <w:t>ŽELJEZNI MATERIJALI</w:t>
      </w:r>
      <w:bookmarkEnd w:id="1"/>
    </w:p>
    <w:p w:rsidR="00BC1433" w:rsidRDefault="00BC1433" w:rsidP="00F107E6">
      <w:pPr>
        <w:ind w:left="709" w:firstLine="708"/>
      </w:pPr>
      <w:r>
        <w:t>Željezo (Fe) je metal koji je osnovna gradiva tvar danas najčešće korištenih tehničkih materijala: čelika i željeznih lijevova. Doduše, u sirovom je stanju, nakon vađenja rudače i njegove prerade, tehnički uglavnom neuporabivo. Razlog tome je velik udio mangana, silicija, sumpora i fosfora, zbog čega su tijekom povijesti razvijani razni postupci prerade i obrade kako bi se iz sirovog željeza uklonile neželjene primjese i višak ugljika koji nastaje tijekom prerade. Upravo se prema udjelu ugljika željezni materijali mogu podijeliti na:</w:t>
      </w:r>
    </w:p>
    <w:p w:rsidR="00BC1433" w:rsidRDefault="00BC1433" w:rsidP="00F107E6">
      <w:pPr>
        <w:ind w:left="709"/>
      </w:pPr>
      <w:r>
        <w:t>čelike, s udjelom ugljika do 2%</w:t>
      </w:r>
    </w:p>
    <w:p w:rsidR="00BC1433" w:rsidRDefault="00BC1433" w:rsidP="00F107E6">
      <w:pPr>
        <w:ind w:left="709"/>
      </w:pPr>
      <w:r>
        <w:t>željezne lijevove, s udjelom ugljika 2-5%.</w:t>
      </w:r>
    </w:p>
    <w:p w:rsidR="00BC1433" w:rsidRDefault="00BC1433" w:rsidP="00F107E6">
      <w:pPr>
        <w:ind w:left="709"/>
      </w:pPr>
      <w:r>
        <w:t xml:space="preserve">Kemijska, fizikalna i mehanička svojstva pojedinih vrsta čelika ili željeznih lijevova ovise o načinu proizvodnje i toplinske obrade te o dodanim primjesama - </w:t>
      </w:r>
      <w:proofErr w:type="spellStart"/>
      <w:r>
        <w:t>legirnim</w:t>
      </w:r>
      <w:proofErr w:type="spellEnd"/>
      <w:r>
        <w:t xml:space="preserve"> elementima.</w:t>
      </w:r>
    </w:p>
    <w:p w:rsidR="00BC1433" w:rsidRDefault="00BC1433" w:rsidP="00F107E6">
      <w:pPr>
        <w:pStyle w:val="Naslov2"/>
        <w:numPr>
          <w:ilvl w:val="1"/>
          <w:numId w:val="26"/>
        </w:numPr>
        <w:rPr>
          <w:rFonts w:eastAsiaTheme="minorHAnsi" w:cstheme="minorBidi"/>
          <w:sz w:val="22"/>
          <w:szCs w:val="22"/>
        </w:rPr>
      </w:pPr>
      <w:bookmarkStart w:id="2" w:name="_Toc213191486"/>
      <w:r w:rsidRPr="00F107E6">
        <w:t>Čelici</w:t>
      </w:r>
      <w:bookmarkEnd w:id="2"/>
      <w:r w:rsidRPr="00F107E6">
        <w:rPr>
          <w:rFonts w:eastAsiaTheme="minorHAnsi" w:cstheme="minorBidi"/>
          <w:sz w:val="22"/>
          <w:szCs w:val="22"/>
        </w:rPr>
        <w:t xml:space="preserve"> </w:t>
      </w:r>
    </w:p>
    <w:p w:rsidR="00131598" w:rsidRPr="00131598" w:rsidRDefault="00131598" w:rsidP="00131598"/>
    <w:p w:rsidR="00BC1433" w:rsidRDefault="00BC1433" w:rsidP="00F107E6">
      <w:pPr>
        <w:ind w:left="709" w:firstLine="360"/>
      </w:pPr>
      <w:r>
        <w:t>Čelici su željezni materijali koji imaju udio ugljika do 2% i ujedno su najrašireniji tehnički materijali. Označavaju se u skladu s HRN EN 10 027, a ovisno o udjelu legirnih elemenata, mogu biti (tablica 3.2):</w:t>
      </w:r>
    </w:p>
    <w:p w:rsidR="00BC1433" w:rsidRDefault="00BC1433" w:rsidP="00BC1433">
      <w:pPr>
        <w:pStyle w:val="Odlomakpopisa"/>
        <w:numPr>
          <w:ilvl w:val="0"/>
          <w:numId w:val="1"/>
        </w:numPr>
        <w:ind w:left="4536"/>
      </w:pPr>
      <w:proofErr w:type="spellStart"/>
      <w:r>
        <w:t>nelegirani</w:t>
      </w:r>
      <w:proofErr w:type="spellEnd"/>
    </w:p>
    <w:p w:rsidR="00BC1433" w:rsidRDefault="00BC1433" w:rsidP="00BC1433">
      <w:pPr>
        <w:pStyle w:val="Odlomakpopisa"/>
        <w:numPr>
          <w:ilvl w:val="0"/>
          <w:numId w:val="1"/>
        </w:numPr>
        <w:ind w:left="4536"/>
      </w:pPr>
      <w:r>
        <w:t>legirani.</w:t>
      </w:r>
    </w:p>
    <w:p w:rsidR="00BC1433" w:rsidRDefault="00BC1433" w:rsidP="00BA5BA5">
      <w:pPr>
        <w:ind w:left="426" w:firstLine="360"/>
      </w:pPr>
      <w:proofErr w:type="spellStart"/>
      <w:r w:rsidRPr="00BC1433">
        <w:rPr>
          <w:b/>
        </w:rPr>
        <w:t>Nelegirani</w:t>
      </w:r>
      <w:proofErr w:type="spellEnd"/>
      <w:r w:rsidRPr="00BC1433">
        <w:rPr>
          <w:b/>
        </w:rPr>
        <w:t xml:space="preserve"> čelici</w:t>
      </w:r>
      <w:r>
        <w:t xml:space="preserve"> su oni koji, osim željeza i ugljika, sadržavaju tek neznatne udjele drugih elemenata, a koriste se za razne vrste konstrukcija kod kojih nema nekih posebnih zahtjeva za uporabnim svojstvima (za izradu cijevi i </w:t>
      </w:r>
      <w:proofErr w:type="spellStart"/>
      <w:r>
        <w:t>sl</w:t>
      </w:r>
      <w:proofErr w:type="spellEnd"/>
      <w:r>
        <w:t>). Ovisno o načinu označavanja, dijele se u dvije skupine. Čelici iz prve skupine označavaju se prema namjeni i svojstvima, a iz druge skupine prema udjelu ugljika i uporabnim svojstvima ili značajkama proizvodnje.</w:t>
      </w:r>
    </w:p>
    <w:p w:rsidR="00645DC9" w:rsidRDefault="00BC1433" w:rsidP="00BA5BA5">
      <w:pPr>
        <w:ind w:left="426" w:firstLine="360"/>
      </w:pPr>
      <w:r w:rsidRPr="00BC1433">
        <w:rPr>
          <w:b/>
        </w:rPr>
        <w:t>Legirani čelici</w:t>
      </w:r>
      <w:r>
        <w:t xml:space="preserve"> su oni koji, osim željeza i ugljika, sadržavaju dodatne, </w:t>
      </w:r>
      <w:proofErr w:type="spellStart"/>
      <w:r>
        <w:t>legirne</w:t>
      </w:r>
      <w:proofErr w:type="spellEnd"/>
      <w:r>
        <w:t xml:space="preserve"> elemente (na</w:t>
      </w:r>
      <w:r w:rsidR="003D7780">
        <w:t xml:space="preserve">jčešće krom, mangan, </w:t>
      </w:r>
      <w:proofErr w:type="spellStart"/>
      <w:r w:rsidR="003D7780">
        <w:t>nikl</w:t>
      </w:r>
      <w:proofErr w:type="spellEnd"/>
      <w:r w:rsidR="003D7780">
        <w:t>, sili</w:t>
      </w:r>
      <w:r>
        <w:t>cij, volfram i molibden) koji služe za poboljšavanje određenih uporabnih svojstava. Koriste se kada se postavljaju posebni zahtjevi za pojedinim svojstvima kao što su povećana čv</w:t>
      </w:r>
      <w:r w:rsidR="00645DC9">
        <w:t>rsto</w:t>
      </w:r>
      <w:r>
        <w:t>ća, tvrdoća, žilavost, korozijska ili toplinska postojanost itd. Od njih se, primjerice, izrađuj</w:t>
      </w:r>
      <w:r w:rsidR="00645DC9">
        <w:t>u razne vrste zupčanika ili cje</w:t>
      </w:r>
      <w:r>
        <w:t>vovoda za agresivnije medije. Ovisno o načinu označavanja,</w:t>
      </w:r>
      <w:r w:rsidR="00645DC9" w:rsidRPr="00645DC9">
        <w:t xml:space="preserve"> </w:t>
      </w:r>
      <w:r w:rsidR="00645DC9">
        <w:t>također se dijele u dvije skupine. Čelici iz prve skupine ima-ju udio legirnih elemenata manji od 5%, a njihova se oznaka sastoji od udjela ugljika te od simbola i udjela najvažnijih legirnih elemenata. Čelici iz druge skupine imaju udio legirnih elemenata veći od 5%, a prepoznaju se po slovu X, kojim počinje njihova oznaka, nakon čega slijede simboli legirnih elemenata i njihovi udjeli.</w:t>
      </w:r>
    </w:p>
    <w:p w:rsidR="00645DC9" w:rsidRDefault="00645DC9" w:rsidP="00BA5BA5">
      <w:pPr>
        <w:ind w:left="426"/>
      </w:pPr>
      <w:r w:rsidRPr="00645DC9">
        <w:rPr>
          <w:b/>
        </w:rPr>
        <w:t>Nehrđajući čelici</w:t>
      </w:r>
      <w:r>
        <w:t xml:space="preserve"> su posebna podskupina </w:t>
      </w:r>
      <w:proofErr w:type="spellStart"/>
      <w:r>
        <w:t>visokolegiranih</w:t>
      </w:r>
      <w:proofErr w:type="spellEnd"/>
      <w:r>
        <w:t xml:space="preserve"> čelika i kod njih je udio kroma veći od 10,5%, dok udio ugljika ne prelazi 1,2%.</w:t>
      </w:r>
    </w:p>
    <w:p w:rsidR="002E1C0D" w:rsidRDefault="002E1C0D" w:rsidP="00F107E6">
      <w:pPr>
        <w:pStyle w:val="Naslov2"/>
        <w:numPr>
          <w:ilvl w:val="1"/>
          <w:numId w:val="26"/>
        </w:numPr>
      </w:pPr>
      <w:bookmarkStart w:id="3" w:name="_Toc213191487"/>
      <w:r w:rsidRPr="00F107E6">
        <w:t>Željezni lijevovi</w:t>
      </w:r>
      <w:bookmarkEnd w:id="3"/>
    </w:p>
    <w:p w:rsidR="00F107E6" w:rsidRPr="00F107E6" w:rsidRDefault="00F107E6" w:rsidP="00F107E6"/>
    <w:p w:rsidR="00645DC9" w:rsidRDefault="00645DC9" w:rsidP="00BA5BA5">
      <w:pPr>
        <w:ind w:left="567"/>
      </w:pPr>
      <w:r w:rsidRPr="00645DC9">
        <w:rPr>
          <w:b/>
        </w:rPr>
        <w:t>Željezni lijevovi</w:t>
      </w:r>
      <w:r>
        <w:t xml:space="preserve"> su željezni materijali koji imaju udio ugljika 2-5%. Ugljik u njima se ponajviše pojavljuje kao grafit i to u </w:t>
      </w:r>
      <w:proofErr w:type="spellStart"/>
      <w:r>
        <w:t>lamelarnom</w:t>
      </w:r>
      <w:proofErr w:type="spellEnd"/>
      <w:r>
        <w:t xml:space="preserve"> ili kuglastom obliku.</w:t>
      </w:r>
    </w:p>
    <w:p w:rsidR="00645DC9" w:rsidRDefault="00645DC9" w:rsidP="00BA5BA5">
      <w:pPr>
        <w:ind w:left="567"/>
      </w:pPr>
      <w:r w:rsidRPr="00645DC9">
        <w:rPr>
          <w:b/>
        </w:rPr>
        <w:t>Sivi lijev (SL)</w:t>
      </w:r>
      <w:r>
        <w:t xml:space="preserve"> je onaj kod kojega je ugljik, odnosno grafit u </w:t>
      </w:r>
      <w:proofErr w:type="spellStart"/>
      <w:r>
        <w:t>lamelarnom</w:t>
      </w:r>
      <w:proofErr w:type="spellEnd"/>
      <w:r>
        <w:t xml:space="preserve"> obliku. Sive je boje, krhak i neotporan na udar-</w:t>
      </w:r>
      <w:proofErr w:type="spellStart"/>
      <w:r>
        <w:t>ce</w:t>
      </w:r>
      <w:proofErr w:type="spellEnd"/>
      <w:r>
        <w:t>, no dobro je postojan na koroziju i toplinu pa se od njega izrađuju kanalizacijske cijevi, kućišta crpki, dijelovi kotlova, radijatori i sl.</w:t>
      </w:r>
    </w:p>
    <w:p w:rsidR="00645DC9" w:rsidRDefault="00645DC9" w:rsidP="00BA5BA5">
      <w:pPr>
        <w:ind w:left="567"/>
      </w:pPr>
      <w:proofErr w:type="spellStart"/>
      <w:r w:rsidRPr="00645DC9">
        <w:rPr>
          <w:b/>
        </w:rPr>
        <w:t>Globularni</w:t>
      </w:r>
      <w:proofErr w:type="spellEnd"/>
      <w:r w:rsidRPr="00645DC9">
        <w:rPr>
          <w:b/>
        </w:rPr>
        <w:t xml:space="preserve"> lijev</w:t>
      </w:r>
      <w:r>
        <w:t xml:space="preserve"> je onaj koji se dobiva dodavanjem magnezija pri proizvodnji i kod njega je grafit u kuglastom (</w:t>
      </w:r>
      <w:proofErr w:type="spellStart"/>
      <w:r>
        <w:t>globularnom</w:t>
      </w:r>
      <w:proofErr w:type="spellEnd"/>
      <w:r>
        <w:t>, sferoidnom) obliku. Za razliku od sivog lijeva, odlikuje se bitno poboljšanim mehaničkim i oblikovnim svojstvima. Koristi se za izradu cijevi namijenjenih za rad na povećanom tlaku i kućišta raznih uređaja (npr. crpki).</w:t>
      </w:r>
    </w:p>
    <w:p w:rsidR="00BF03C7" w:rsidRDefault="00645DC9" w:rsidP="00BA5BA5">
      <w:pPr>
        <w:ind w:left="567"/>
      </w:pPr>
      <w:r w:rsidRPr="00645DC9">
        <w:rPr>
          <w:b/>
        </w:rPr>
        <w:lastRenderedPageBreak/>
        <w:t>Temperirani lijev</w:t>
      </w:r>
      <w:r>
        <w:t xml:space="preserve"> je onaj koji je posebno toplinski obrađen. Od njega se izrađuju razne spojnice, kućišta ventila i sl.</w:t>
      </w:r>
    </w:p>
    <w:p w:rsidR="00714DC6" w:rsidRDefault="00714DC6" w:rsidP="00092AF9">
      <w:pPr>
        <w:pStyle w:val="Naslov1"/>
        <w:rPr>
          <w:sz w:val="20"/>
        </w:rPr>
      </w:pPr>
    </w:p>
    <w:p w:rsidR="00092AF9" w:rsidRPr="00092AF9" w:rsidRDefault="00092AF9" w:rsidP="00131598">
      <w:pPr>
        <w:ind w:left="851"/>
      </w:pPr>
      <w:r w:rsidRPr="00092AF9">
        <w:t xml:space="preserve">Tablica </w:t>
      </w:r>
      <w:r w:rsidR="00714DC6">
        <w:t>1</w:t>
      </w:r>
      <w:r w:rsidRPr="00092AF9">
        <w:t xml:space="preserve"> – Osnovna svojstva željeznih materijala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92AF9" w:rsidTr="00714DC6">
        <w:trPr>
          <w:jc w:val="center"/>
        </w:trPr>
        <w:tc>
          <w:tcPr>
            <w:tcW w:w="1728" w:type="dxa"/>
            <w:shd w:val="clear" w:color="auto" w:fill="D0CECE" w:themeFill="background2" w:themeFillShade="E6"/>
            <w:vAlign w:val="center"/>
          </w:tcPr>
          <w:p w:rsidR="00092AF9" w:rsidRPr="00092AF9" w:rsidRDefault="00092AF9" w:rsidP="00092AF9">
            <w:pPr>
              <w:jc w:val="center"/>
              <w:rPr>
                <w:b/>
                <w:sz w:val="18"/>
              </w:rPr>
            </w:pPr>
            <w:proofErr w:type="spellStart"/>
            <w:r w:rsidRPr="00092AF9">
              <w:rPr>
                <w:b/>
                <w:sz w:val="18"/>
              </w:rPr>
              <w:t>Materijal</w:t>
            </w:r>
            <w:proofErr w:type="spellEnd"/>
          </w:p>
        </w:tc>
        <w:tc>
          <w:tcPr>
            <w:tcW w:w="1728" w:type="dxa"/>
            <w:shd w:val="clear" w:color="auto" w:fill="D0CECE" w:themeFill="background2" w:themeFillShade="E6"/>
            <w:vAlign w:val="center"/>
          </w:tcPr>
          <w:p w:rsidR="00092AF9" w:rsidRPr="00092AF9" w:rsidRDefault="00092AF9" w:rsidP="00092AF9">
            <w:pPr>
              <w:jc w:val="center"/>
              <w:rPr>
                <w:b/>
                <w:sz w:val="18"/>
              </w:rPr>
            </w:pPr>
            <w:proofErr w:type="spellStart"/>
            <w:r w:rsidRPr="00092AF9">
              <w:rPr>
                <w:b/>
                <w:sz w:val="18"/>
              </w:rPr>
              <w:t>Gustoća</w:t>
            </w:r>
            <w:proofErr w:type="spellEnd"/>
            <w:r w:rsidRPr="00092AF9">
              <w:rPr>
                <w:b/>
                <w:sz w:val="18"/>
              </w:rPr>
              <w:t xml:space="preserve"> (kg/m³)</w:t>
            </w:r>
          </w:p>
        </w:tc>
        <w:tc>
          <w:tcPr>
            <w:tcW w:w="1728" w:type="dxa"/>
            <w:shd w:val="clear" w:color="auto" w:fill="D0CECE" w:themeFill="background2" w:themeFillShade="E6"/>
            <w:vAlign w:val="center"/>
          </w:tcPr>
          <w:p w:rsidR="00092AF9" w:rsidRPr="00092AF9" w:rsidRDefault="00092AF9" w:rsidP="00092AF9">
            <w:pPr>
              <w:jc w:val="center"/>
              <w:rPr>
                <w:b/>
                <w:sz w:val="18"/>
              </w:rPr>
            </w:pPr>
            <w:proofErr w:type="spellStart"/>
            <w:r w:rsidRPr="00092AF9">
              <w:rPr>
                <w:b/>
                <w:sz w:val="18"/>
              </w:rPr>
              <w:t>Talište</w:t>
            </w:r>
            <w:proofErr w:type="spellEnd"/>
            <w:r w:rsidRPr="00092AF9">
              <w:rPr>
                <w:b/>
                <w:sz w:val="18"/>
              </w:rPr>
              <w:t xml:space="preserve"> (°C)</w:t>
            </w:r>
          </w:p>
        </w:tc>
        <w:tc>
          <w:tcPr>
            <w:tcW w:w="1728" w:type="dxa"/>
            <w:shd w:val="clear" w:color="auto" w:fill="D0CECE" w:themeFill="background2" w:themeFillShade="E6"/>
            <w:vAlign w:val="center"/>
          </w:tcPr>
          <w:p w:rsidR="00092AF9" w:rsidRPr="00092AF9" w:rsidRDefault="00092AF9" w:rsidP="00092AF9">
            <w:pPr>
              <w:jc w:val="center"/>
              <w:rPr>
                <w:b/>
                <w:sz w:val="18"/>
              </w:rPr>
            </w:pPr>
            <w:proofErr w:type="spellStart"/>
            <w:r w:rsidRPr="00092AF9">
              <w:rPr>
                <w:b/>
                <w:sz w:val="18"/>
              </w:rPr>
              <w:t>Vlačna</w:t>
            </w:r>
            <w:proofErr w:type="spellEnd"/>
            <w:r w:rsidRPr="00092AF9">
              <w:rPr>
                <w:b/>
                <w:sz w:val="18"/>
              </w:rPr>
              <w:t xml:space="preserve"> </w:t>
            </w:r>
            <w:proofErr w:type="spellStart"/>
            <w:r w:rsidRPr="00092AF9">
              <w:rPr>
                <w:b/>
                <w:sz w:val="18"/>
              </w:rPr>
              <w:t>čvrstoća</w:t>
            </w:r>
            <w:proofErr w:type="spellEnd"/>
            <w:r w:rsidRPr="00092AF9">
              <w:rPr>
                <w:b/>
                <w:sz w:val="18"/>
              </w:rPr>
              <w:t xml:space="preserve"> (N/mm²)</w:t>
            </w:r>
          </w:p>
        </w:tc>
        <w:tc>
          <w:tcPr>
            <w:tcW w:w="1728" w:type="dxa"/>
            <w:shd w:val="clear" w:color="auto" w:fill="D0CECE" w:themeFill="background2" w:themeFillShade="E6"/>
            <w:vAlign w:val="center"/>
          </w:tcPr>
          <w:p w:rsidR="00092AF9" w:rsidRPr="00092AF9" w:rsidRDefault="00092AF9" w:rsidP="00092AF9">
            <w:pPr>
              <w:jc w:val="center"/>
              <w:rPr>
                <w:b/>
                <w:sz w:val="18"/>
              </w:rPr>
            </w:pPr>
            <w:proofErr w:type="spellStart"/>
            <w:r w:rsidRPr="00092AF9">
              <w:rPr>
                <w:b/>
                <w:sz w:val="18"/>
              </w:rPr>
              <w:t>Značajke</w:t>
            </w:r>
            <w:proofErr w:type="spellEnd"/>
            <w:r w:rsidRPr="00092AF9">
              <w:rPr>
                <w:b/>
                <w:sz w:val="18"/>
              </w:rPr>
              <w:t xml:space="preserve">, </w:t>
            </w:r>
            <w:proofErr w:type="spellStart"/>
            <w:r w:rsidRPr="00092AF9">
              <w:rPr>
                <w:b/>
                <w:sz w:val="18"/>
              </w:rPr>
              <w:t>posebnosti</w:t>
            </w:r>
            <w:proofErr w:type="spellEnd"/>
            <w:r w:rsidRPr="00092AF9">
              <w:rPr>
                <w:b/>
                <w:sz w:val="18"/>
              </w:rPr>
              <w:t xml:space="preserve"> / </w:t>
            </w:r>
            <w:proofErr w:type="spellStart"/>
            <w:r w:rsidRPr="00092AF9">
              <w:rPr>
                <w:b/>
                <w:sz w:val="18"/>
              </w:rPr>
              <w:t>Primjeri</w:t>
            </w:r>
            <w:proofErr w:type="spellEnd"/>
            <w:r w:rsidRPr="00092AF9">
              <w:rPr>
                <w:b/>
                <w:sz w:val="18"/>
              </w:rPr>
              <w:t xml:space="preserve"> </w:t>
            </w:r>
            <w:proofErr w:type="spellStart"/>
            <w:r w:rsidRPr="00092AF9">
              <w:rPr>
                <w:b/>
                <w:sz w:val="18"/>
              </w:rPr>
              <w:t>primjene</w:t>
            </w:r>
            <w:proofErr w:type="spellEnd"/>
          </w:p>
        </w:tc>
      </w:tr>
      <w:tr w:rsidR="00092AF9" w:rsidTr="00714DC6">
        <w:trPr>
          <w:jc w:val="center"/>
        </w:trPr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Čelik</w:t>
            </w:r>
            <w:proofErr w:type="spellEnd"/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7850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1400 – 1500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oko</w:t>
            </w:r>
            <w:proofErr w:type="spellEnd"/>
            <w:r w:rsidRPr="00092AF9">
              <w:rPr>
                <w:sz w:val="18"/>
              </w:rPr>
              <w:t xml:space="preserve"> 400 (</w:t>
            </w:r>
            <w:proofErr w:type="spellStart"/>
            <w:r w:rsidRPr="00092AF9">
              <w:rPr>
                <w:sz w:val="18"/>
              </w:rPr>
              <w:t>konstrukcijski</w:t>
            </w:r>
            <w:proofErr w:type="spellEnd"/>
            <w:r w:rsidRPr="00092AF9">
              <w:rPr>
                <w:sz w:val="18"/>
              </w:rPr>
              <w:t>)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7D544D">
            <w:pPr>
              <w:rPr>
                <w:sz w:val="18"/>
              </w:rPr>
            </w:pPr>
            <w:r w:rsidRPr="00092AF9">
              <w:rPr>
                <w:sz w:val="18"/>
              </w:rPr>
              <w:t xml:space="preserve">Dobro </w:t>
            </w:r>
            <w:proofErr w:type="spellStart"/>
            <w:r w:rsidRPr="00092AF9">
              <w:rPr>
                <w:sz w:val="18"/>
              </w:rPr>
              <w:t>obradiv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oblikovljiv</w:t>
            </w:r>
            <w:proofErr w:type="spellEnd"/>
            <w:r w:rsidRPr="00092AF9">
              <w:rPr>
                <w:sz w:val="18"/>
              </w:rPr>
              <w:t xml:space="preserve">, </w:t>
            </w:r>
            <w:proofErr w:type="spellStart"/>
            <w:r w:rsidRPr="00092AF9">
              <w:rPr>
                <w:sz w:val="18"/>
              </w:rPr>
              <w:t>lemiv</w:t>
            </w:r>
            <w:proofErr w:type="spellEnd"/>
            <w:r w:rsidRPr="00092AF9">
              <w:rPr>
                <w:sz w:val="18"/>
              </w:rPr>
              <w:t xml:space="preserve">, </w:t>
            </w:r>
            <w:proofErr w:type="spellStart"/>
            <w:r w:rsidRPr="00092AF9">
              <w:rPr>
                <w:sz w:val="18"/>
              </w:rPr>
              <w:t>zavariv</w:t>
            </w:r>
            <w:proofErr w:type="spellEnd"/>
            <w:r w:rsidRPr="00092AF9">
              <w:rPr>
                <w:sz w:val="18"/>
              </w:rPr>
              <w:t>.</w:t>
            </w:r>
            <w:r w:rsidRPr="00092AF9">
              <w:rPr>
                <w:sz w:val="18"/>
              </w:rPr>
              <w:br/>
            </w:r>
            <w:proofErr w:type="spellStart"/>
            <w:r w:rsidRPr="00092AF9">
              <w:rPr>
                <w:sz w:val="18"/>
              </w:rPr>
              <w:t>Primjena</w:t>
            </w:r>
            <w:proofErr w:type="spellEnd"/>
            <w:r w:rsidRPr="00092AF9">
              <w:rPr>
                <w:sz w:val="18"/>
              </w:rPr>
              <w:t xml:space="preserve">: </w:t>
            </w:r>
            <w:proofErr w:type="spellStart"/>
            <w:r w:rsidRPr="00092AF9">
              <w:rPr>
                <w:sz w:val="18"/>
              </w:rPr>
              <w:t>bešavne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šavne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navojne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>.</w:t>
            </w:r>
          </w:p>
        </w:tc>
      </w:tr>
      <w:tr w:rsidR="00092AF9" w:rsidTr="00714DC6">
        <w:trPr>
          <w:jc w:val="center"/>
        </w:trPr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Austenitni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nehrđajući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čelik</w:t>
            </w:r>
            <w:proofErr w:type="spellEnd"/>
            <w:r w:rsidRPr="00092AF9">
              <w:rPr>
                <w:sz w:val="18"/>
              </w:rPr>
              <w:t xml:space="preserve"> (</w:t>
            </w:r>
            <w:proofErr w:type="spellStart"/>
            <w:r w:rsidRPr="00092AF9">
              <w:rPr>
                <w:sz w:val="18"/>
              </w:rPr>
              <w:t>npr</w:t>
            </w:r>
            <w:proofErr w:type="spellEnd"/>
            <w:r w:rsidRPr="00092AF9">
              <w:rPr>
                <w:sz w:val="18"/>
              </w:rPr>
              <w:t xml:space="preserve">. X5 </w:t>
            </w:r>
            <w:proofErr w:type="spellStart"/>
            <w:r w:rsidRPr="00092AF9">
              <w:rPr>
                <w:sz w:val="18"/>
              </w:rPr>
              <w:t>CrNiMo</w:t>
            </w:r>
            <w:proofErr w:type="spellEnd"/>
            <w:r w:rsidRPr="00092AF9">
              <w:rPr>
                <w:sz w:val="18"/>
              </w:rPr>
              <w:t xml:space="preserve"> 17 122 (1.44 01), X6 </w:t>
            </w:r>
            <w:proofErr w:type="spellStart"/>
            <w:r w:rsidRPr="00092AF9">
              <w:rPr>
                <w:sz w:val="18"/>
              </w:rPr>
              <w:t>CrNiMoTi</w:t>
            </w:r>
            <w:proofErr w:type="spellEnd"/>
            <w:r w:rsidRPr="00092AF9">
              <w:rPr>
                <w:sz w:val="18"/>
              </w:rPr>
              <w:t xml:space="preserve"> 17 122 (1.45 71))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7950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oko</w:t>
            </w:r>
            <w:proofErr w:type="spellEnd"/>
            <w:r w:rsidRPr="00092AF9">
              <w:rPr>
                <w:sz w:val="18"/>
              </w:rPr>
              <w:t xml:space="preserve"> 1450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500 – 740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7D544D">
            <w:pPr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Zavariv</w:t>
            </w:r>
            <w:proofErr w:type="spellEnd"/>
            <w:r w:rsidRPr="00092AF9">
              <w:rPr>
                <w:sz w:val="18"/>
              </w:rPr>
              <w:t xml:space="preserve"> (</w:t>
            </w:r>
            <w:proofErr w:type="spellStart"/>
            <w:r w:rsidRPr="00092AF9">
              <w:rPr>
                <w:sz w:val="18"/>
              </w:rPr>
              <w:t>uz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pridržavanje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uputa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proizvođača</w:t>
            </w:r>
            <w:proofErr w:type="spellEnd"/>
            <w:r w:rsidRPr="00092AF9">
              <w:rPr>
                <w:sz w:val="18"/>
              </w:rPr>
              <w:t xml:space="preserve">); </w:t>
            </w:r>
            <w:proofErr w:type="spellStart"/>
            <w:r w:rsidRPr="00092AF9">
              <w:rPr>
                <w:sz w:val="18"/>
              </w:rPr>
              <w:t>korozijski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postojan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za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nije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potrebna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toplinska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obrada</w:t>
            </w:r>
            <w:proofErr w:type="spellEnd"/>
            <w:r w:rsidRPr="00092AF9">
              <w:rPr>
                <w:sz w:val="18"/>
              </w:rPr>
              <w:t>.</w:t>
            </w:r>
            <w:r w:rsidRPr="00092AF9">
              <w:rPr>
                <w:sz w:val="18"/>
              </w:rPr>
              <w:br/>
            </w:r>
            <w:proofErr w:type="spellStart"/>
            <w:r w:rsidRPr="00092AF9">
              <w:rPr>
                <w:sz w:val="18"/>
              </w:rPr>
              <w:t>Primjena</w:t>
            </w:r>
            <w:proofErr w:type="spellEnd"/>
            <w:r w:rsidRPr="00092AF9">
              <w:rPr>
                <w:sz w:val="18"/>
              </w:rPr>
              <w:t xml:space="preserve">: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za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pitku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vodu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sanitarna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oprema</w:t>
            </w:r>
            <w:proofErr w:type="spellEnd"/>
            <w:r w:rsidRPr="00092AF9">
              <w:rPr>
                <w:sz w:val="18"/>
              </w:rPr>
              <w:t>.</w:t>
            </w:r>
          </w:p>
        </w:tc>
      </w:tr>
      <w:tr w:rsidR="00092AF9" w:rsidTr="00714DC6">
        <w:trPr>
          <w:jc w:val="center"/>
        </w:trPr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Sivi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lijev</w:t>
            </w:r>
            <w:proofErr w:type="spellEnd"/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7200 – 7400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oko</w:t>
            </w:r>
            <w:proofErr w:type="spellEnd"/>
            <w:r w:rsidRPr="00092AF9">
              <w:rPr>
                <w:sz w:val="18"/>
              </w:rPr>
              <w:t xml:space="preserve"> 1200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100 – 400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7D544D">
            <w:pPr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Ima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velik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udio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ugljika</w:t>
            </w:r>
            <w:proofErr w:type="spellEnd"/>
            <w:r w:rsidRPr="00092AF9">
              <w:rPr>
                <w:sz w:val="18"/>
              </w:rPr>
              <w:t xml:space="preserve">, </w:t>
            </w:r>
            <w:proofErr w:type="spellStart"/>
            <w:r w:rsidRPr="00092AF9">
              <w:rPr>
                <w:sz w:val="18"/>
              </w:rPr>
              <w:t>malu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vlačnu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čvrstoću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veliku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tvrdoću</w:t>
            </w:r>
            <w:proofErr w:type="spellEnd"/>
            <w:r w:rsidRPr="00092AF9">
              <w:rPr>
                <w:sz w:val="18"/>
              </w:rPr>
              <w:t xml:space="preserve">; može </w:t>
            </w:r>
            <w:proofErr w:type="spellStart"/>
            <w:r w:rsidRPr="00092AF9">
              <w:rPr>
                <w:sz w:val="18"/>
              </w:rPr>
              <w:t>prigušivati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vibracije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buku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korozijski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postojan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slabo</w:t>
            </w:r>
            <w:proofErr w:type="spellEnd"/>
            <w:r w:rsidRPr="00092AF9">
              <w:rPr>
                <w:sz w:val="18"/>
              </w:rPr>
              <w:t xml:space="preserve"> je </w:t>
            </w:r>
            <w:proofErr w:type="spellStart"/>
            <w:r w:rsidRPr="00092AF9">
              <w:rPr>
                <w:sz w:val="18"/>
              </w:rPr>
              <w:t>zavariv</w:t>
            </w:r>
            <w:proofErr w:type="spellEnd"/>
            <w:r w:rsidRPr="00092AF9">
              <w:rPr>
                <w:sz w:val="18"/>
              </w:rPr>
              <w:t>.</w:t>
            </w:r>
            <w:r w:rsidRPr="00092AF9">
              <w:rPr>
                <w:sz w:val="18"/>
              </w:rPr>
              <w:br/>
            </w:r>
            <w:proofErr w:type="spellStart"/>
            <w:r w:rsidRPr="00092AF9">
              <w:rPr>
                <w:sz w:val="18"/>
              </w:rPr>
              <w:t>Primjena</w:t>
            </w:r>
            <w:proofErr w:type="spellEnd"/>
            <w:r w:rsidRPr="00092AF9">
              <w:rPr>
                <w:sz w:val="18"/>
              </w:rPr>
              <w:t xml:space="preserve">: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za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vodoopskrbnu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kanalizacijsku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mrežu</w:t>
            </w:r>
            <w:proofErr w:type="spellEnd"/>
            <w:r w:rsidRPr="00092AF9">
              <w:rPr>
                <w:sz w:val="18"/>
              </w:rPr>
              <w:t>.</w:t>
            </w:r>
          </w:p>
        </w:tc>
      </w:tr>
      <w:tr w:rsidR="00092AF9" w:rsidTr="00714DC6">
        <w:trPr>
          <w:jc w:val="center"/>
        </w:trPr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Globularni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lijev</w:t>
            </w:r>
            <w:proofErr w:type="spellEnd"/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7200 – 7400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oko</w:t>
            </w:r>
            <w:proofErr w:type="spellEnd"/>
            <w:r w:rsidRPr="00092AF9">
              <w:rPr>
                <w:sz w:val="18"/>
              </w:rPr>
              <w:t xml:space="preserve"> 1200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450 – 700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7D544D">
            <w:pPr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Povećane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čvrstoće</w:t>
            </w:r>
            <w:proofErr w:type="spellEnd"/>
            <w:r w:rsidRPr="00092AF9">
              <w:rPr>
                <w:sz w:val="18"/>
              </w:rPr>
              <w:t xml:space="preserve">, </w:t>
            </w:r>
            <w:proofErr w:type="spellStart"/>
            <w:r w:rsidRPr="00092AF9">
              <w:rPr>
                <w:sz w:val="18"/>
              </w:rPr>
              <w:t>bolje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postojanosti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udarce</w:t>
            </w:r>
            <w:proofErr w:type="spellEnd"/>
            <w:r w:rsidRPr="00092AF9">
              <w:rPr>
                <w:sz w:val="18"/>
              </w:rPr>
              <w:t>.</w:t>
            </w:r>
            <w:r w:rsidRPr="00092AF9">
              <w:rPr>
                <w:sz w:val="18"/>
              </w:rPr>
              <w:br/>
            </w:r>
            <w:proofErr w:type="spellStart"/>
            <w:r w:rsidRPr="00092AF9">
              <w:rPr>
                <w:sz w:val="18"/>
              </w:rPr>
              <w:t>Primjena</w:t>
            </w:r>
            <w:proofErr w:type="spellEnd"/>
            <w:r w:rsidRPr="00092AF9">
              <w:rPr>
                <w:sz w:val="18"/>
              </w:rPr>
              <w:t xml:space="preserve">: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za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vodoopskrbu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za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nadzemne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podzemne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plinovode</w:t>
            </w:r>
            <w:proofErr w:type="spellEnd"/>
            <w:r w:rsidRPr="00092AF9">
              <w:rPr>
                <w:sz w:val="18"/>
              </w:rPr>
              <w:t>.</w:t>
            </w:r>
          </w:p>
        </w:tc>
      </w:tr>
      <w:tr w:rsidR="00092AF9" w:rsidTr="00714DC6">
        <w:trPr>
          <w:jc w:val="center"/>
        </w:trPr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Temperirani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lijev</w:t>
            </w:r>
            <w:proofErr w:type="spellEnd"/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ovisno</w:t>
            </w:r>
            <w:proofErr w:type="spellEnd"/>
            <w:r w:rsidRPr="00092AF9">
              <w:rPr>
                <w:sz w:val="18"/>
              </w:rPr>
              <w:t xml:space="preserve"> o </w:t>
            </w:r>
            <w:proofErr w:type="spellStart"/>
            <w:r w:rsidRPr="00092AF9">
              <w:rPr>
                <w:sz w:val="18"/>
              </w:rPr>
              <w:t>vrsti</w:t>
            </w:r>
            <w:proofErr w:type="spellEnd"/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oko</w:t>
            </w:r>
            <w:proofErr w:type="spellEnd"/>
            <w:r w:rsidRPr="00092AF9">
              <w:rPr>
                <w:sz w:val="18"/>
              </w:rPr>
              <w:t xml:space="preserve"> 1000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092AF9">
            <w:pPr>
              <w:jc w:val="center"/>
              <w:rPr>
                <w:sz w:val="18"/>
              </w:rPr>
            </w:pPr>
            <w:r w:rsidRPr="00092AF9">
              <w:rPr>
                <w:sz w:val="18"/>
              </w:rPr>
              <w:t>340 – 700</w:t>
            </w:r>
          </w:p>
        </w:tc>
        <w:tc>
          <w:tcPr>
            <w:tcW w:w="1728" w:type="dxa"/>
            <w:vAlign w:val="center"/>
          </w:tcPr>
          <w:p w:rsidR="00092AF9" w:rsidRPr="00092AF9" w:rsidRDefault="00092AF9" w:rsidP="007D544D">
            <w:pPr>
              <w:rPr>
                <w:sz w:val="18"/>
              </w:rPr>
            </w:pPr>
            <w:proofErr w:type="spellStart"/>
            <w:r w:rsidRPr="00092AF9">
              <w:rPr>
                <w:sz w:val="18"/>
              </w:rPr>
              <w:t>Rastezljiv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postojan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na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koroziju</w:t>
            </w:r>
            <w:proofErr w:type="spellEnd"/>
            <w:r w:rsidRPr="00092AF9">
              <w:rPr>
                <w:sz w:val="18"/>
              </w:rPr>
              <w:t xml:space="preserve">; </w:t>
            </w:r>
            <w:proofErr w:type="spellStart"/>
            <w:r w:rsidRPr="00092AF9">
              <w:rPr>
                <w:sz w:val="18"/>
              </w:rPr>
              <w:t>lemiv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zavariv</w:t>
            </w:r>
            <w:proofErr w:type="spellEnd"/>
            <w:r w:rsidRPr="00092AF9">
              <w:rPr>
                <w:sz w:val="18"/>
              </w:rPr>
              <w:t xml:space="preserve"> pod </w:t>
            </w:r>
            <w:proofErr w:type="spellStart"/>
            <w:r w:rsidRPr="00092AF9">
              <w:rPr>
                <w:sz w:val="18"/>
              </w:rPr>
              <w:t>određenim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uvjetima</w:t>
            </w:r>
            <w:proofErr w:type="spellEnd"/>
            <w:r w:rsidRPr="00092AF9">
              <w:rPr>
                <w:sz w:val="18"/>
              </w:rPr>
              <w:t>.</w:t>
            </w:r>
            <w:r w:rsidRPr="00092AF9">
              <w:rPr>
                <w:sz w:val="18"/>
              </w:rPr>
              <w:br/>
            </w:r>
            <w:proofErr w:type="spellStart"/>
            <w:r w:rsidRPr="00092AF9">
              <w:rPr>
                <w:sz w:val="18"/>
              </w:rPr>
              <w:t>Primjena</w:t>
            </w:r>
            <w:proofErr w:type="spellEnd"/>
            <w:r w:rsidRPr="00092AF9">
              <w:rPr>
                <w:sz w:val="18"/>
              </w:rPr>
              <w:t xml:space="preserve">: </w:t>
            </w:r>
            <w:proofErr w:type="spellStart"/>
            <w:r w:rsidRPr="00092AF9">
              <w:rPr>
                <w:sz w:val="18"/>
              </w:rPr>
              <w:t>spojnice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vodovodnih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i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plinovodnih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navojnih</w:t>
            </w:r>
            <w:proofErr w:type="spellEnd"/>
            <w:r w:rsidRPr="00092AF9">
              <w:rPr>
                <w:sz w:val="18"/>
              </w:rPr>
              <w:t xml:space="preserve"> </w:t>
            </w:r>
            <w:proofErr w:type="spellStart"/>
            <w:r w:rsidRPr="00092AF9">
              <w:rPr>
                <w:sz w:val="18"/>
              </w:rPr>
              <w:t>cijevi</w:t>
            </w:r>
            <w:proofErr w:type="spellEnd"/>
            <w:r w:rsidRPr="00092AF9">
              <w:rPr>
                <w:sz w:val="18"/>
              </w:rPr>
              <w:t>.</w:t>
            </w:r>
          </w:p>
        </w:tc>
      </w:tr>
    </w:tbl>
    <w:p w:rsidR="00092AF9" w:rsidRDefault="00092AF9" w:rsidP="00092AF9"/>
    <w:p w:rsidR="002E1C0D" w:rsidRDefault="002E1C0D" w:rsidP="00092AF9"/>
    <w:p w:rsidR="00714DC6" w:rsidRDefault="00714DC6" w:rsidP="00092AF9"/>
    <w:p w:rsidR="00714DC6" w:rsidRDefault="00714DC6" w:rsidP="00092AF9"/>
    <w:p w:rsidR="00714DC6" w:rsidRDefault="00714DC6" w:rsidP="00092AF9"/>
    <w:p w:rsidR="00714DC6" w:rsidRDefault="00714DC6" w:rsidP="00092AF9"/>
    <w:p w:rsidR="00714DC6" w:rsidRDefault="00714DC6" w:rsidP="00092AF9"/>
    <w:sectPr w:rsidR="00714DC6" w:rsidSect="00D70629"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29" w:rsidRDefault="00D70629" w:rsidP="00D70629">
      <w:pPr>
        <w:spacing w:after="0" w:line="240" w:lineRule="auto"/>
      </w:pPr>
      <w:r>
        <w:separator/>
      </w:r>
    </w:p>
  </w:endnote>
  <w:endnote w:type="continuationSeparator" w:id="0">
    <w:p w:rsidR="00D70629" w:rsidRDefault="00D70629" w:rsidP="00D7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453879"/>
      <w:docPartObj>
        <w:docPartGallery w:val="Page Numbers (Bottom of Page)"/>
        <w:docPartUnique/>
      </w:docPartObj>
    </w:sdtPr>
    <w:sdtEndPr/>
    <w:sdtContent>
      <w:p w:rsidR="00D70629" w:rsidRDefault="00D7062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B7">
          <w:rPr>
            <w:noProof/>
          </w:rPr>
          <w:t>4</w:t>
        </w:r>
        <w:r>
          <w:fldChar w:fldCharType="end"/>
        </w:r>
      </w:p>
    </w:sdtContent>
  </w:sdt>
  <w:p w:rsidR="00D70629" w:rsidRDefault="00D7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29" w:rsidRDefault="00D70629" w:rsidP="00D70629">
      <w:pPr>
        <w:spacing w:after="0" w:line="240" w:lineRule="auto"/>
      </w:pPr>
      <w:r>
        <w:separator/>
      </w:r>
    </w:p>
  </w:footnote>
  <w:footnote w:type="continuationSeparator" w:id="0">
    <w:p w:rsidR="00D70629" w:rsidRDefault="00D70629" w:rsidP="00D70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455"/>
    <w:multiLevelType w:val="hybridMultilevel"/>
    <w:tmpl w:val="35EAA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E5C"/>
    <w:multiLevelType w:val="hybridMultilevel"/>
    <w:tmpl w:val="0DB8BDA0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D93FFF"/>
    <w:multiLevelType w:val="hybridMultilevel"/>
    <w:tmpl w:val="CC8A4EAE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466C44"/>
    <w:multiLevelType w:val="multilevel"/>
    <w:tmpl w:val="1BF60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eastAsiaTheme="majorEastAsia" w:cstheme="maj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ajorEastAsia" w:cstheme="majorBid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ajorEastAsia" w:cstheme="majorBid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ajorEastAsia" w:cstheme="majorBid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ajorEastAsia" w:cstheme="majorBid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ajorEastAsia" w:cstheme="majorBid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ajorEastAsia" w:cstheme="majorBid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ajorEastAsia" w:cstheme="majorBidi" w:hint="default"/>
        <w:sz w:val="26"/>
      </w:rPr>
    </w:lvl>
  </w:abstractNum>
  <w:abstractNum w:abstractNumId="4" w15:restartNumberingAfterBreak="0">
    <w:nsid w:val="15022095"/>
    <w:multiLevelType w:val="hybridMultilevel"/>
    <w:tmpl w:val="79705B3C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E54A8B"/>
    <w:multiLevelType w:val="hybridMultilevel"/>
    <w:tmpl w:val="D43464CE"/>
    <w:lvl w:ilvl="0" w:tplc="B6A0C5D8">
      <w:start w:val="1"/>
      <w:numFmt w:val="bullet"/>
      <w:lvlText w:val="▷"/>
      <w:lvlJc w:val="left"/>
      <w:pPr>
        <w:ind w:left="1571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656473"/>
    <w:multiLevelType w:val="hybridMultilevel"/>
    <w:tmpl w:val="C3B69B88"/>
    <w:lvl w:ilvl="0" w:tplc="B6A0C5D8">
      <w:start w:val="1"/>
      <w:numFmt w:val="bullet"/>
      <w:lvlText w:val="▷"/>
      <w:lvlJc w:val="left"/>
      <w:pPr>
        <w:ind w:left="720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72D13"/>
    <w:multiLevelType w:val="hybridMultilevel"/>
    <w:tmpl w:val="B73E6F62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24D0D5C"/>
    <w:multiLevelType w:val="hybridMultilevel"/>
    <w:tmpl w:val="4940A9AA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856299F"/>
    <w:multiLevelType w:val="hybridMultilevel"/>
    <w:tmpl w:val="D1646436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9B3E8E"/>
    <w:multiLevelType w:val="hybridMultilevel"/>
    <w:tmpl w:val="3FB675B2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EEF0C36"/>
    <w:multiLevelType w:val="hybridMultilevel"/>
    <w:tmpl w:val="9ED6F1C2"/>
    <w:lvl w:ilvl="0" w:tplc="1EEA6D5A">
      <w:start w:val="1"/>
      <w:numFmt w:val="decimal"/>
      <w:lvlText w:val="%1."/>
      <w:lvlJc w:val="left"/>
      <w:pPr>
        <w:ind w:left="426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4" w:hanging="360"/>
      </w:pPr>
    </w:lvl>
    <w:lvl w:ilvl="2" w:tplc="041A001B" w:tentative="1">
      <w:start w:val="1"/>
      <w:numFmt w:val="lowerRoman"/>
      <w:lvlText w:val="%3."/>
      <w:lvlJc w:val="right"/>
      <w:pPr>
        <w:ind w:left="5344" w:hanging="180"/>
      </w:pPr>
    </w:lvl>
    <w:lvl w:ilvl="3" w:tplc="041A000F" w:tentative="1">
      <w:start w:val="1"/>
      <w:numFmt w:val="decimal"/>
      <w:lvlText w:val="%4."/>
      <w:lvlJc w:val="left"/>
      <w:pPr>
        <w:ind w:left="6064" w:hanging="360"/>
      </w:pPr>
    </w:lvl>
    <w:lvl w:ilvl="4" w:tplc="041A0019" w:tentative="1">
      <w:start w:val="1"/>
      <w:numFmt w:val="lowerLetter"/>
      <w:lvlText w:val="%5."/>
      <w:lvlJc w:val="left"/>
      <w:pPr>
        <w:ind w:left="6784" w:hanging="360"/>
      </w:pPr>
    </w:lvl>
    <w:lvl w:ilvl="5" w:tplc="041A001B" w:tentative="1">
      <w:start w:val="1"/>
      <w:numFmt w:val="lowerRoman"/>
      <w:lvlText w:val="%6."/>
      <w:lvlJc w:val="right"/>
      <w:pPr>
        <w:ind w:left="7504" w:hanging="180"/>
      </w:pPr>
    </w:lvl>
    <w:lvl w:ilvl="6" w:tplc="041A000F" w:tentative="1">
      <w:start w:val="1"/>
      <w:numFmt w:val="decimal"/>
      <w:lvlText w:val="%7."/>
      <w:lvlJc w:val="left"/>
      <w:pPr>
        <w:ind w:left="8224" w:hanging="360"/>
      </w:pPr>
    </w:lvl>
    <w:lvl w:ilvl="7" w:tplc="041A0019" w:tentative="1">
      <w:start w:val="1"/>
      <w:numFmt w:val="lowerLetter"/>
      <w:lvlText w:val="%8."/>
      <w:lvlJc w:val="left"/>
      <w:pPr>
        <w:ind w:left="8944" w:hanging="360"/>
      </w:pPr>
    </w:lvl>
    <w:lvl w:ilvl="8" w:tplc="041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2" w15:restartNumberingAfterBreak="0">
    <w:nsid w:val="4B861681"/>
    <w:multiLevelType w:val="hybridMultilevel"/>
    <w:tmpl w:val="2A323100"/>
    <w:lvl w:ilvl="0" w:tplc="B6A0C5D8">
      <w:start w:val="1"/>
      <w:numFmt w:val="bullet"/>
      <w:lvlText w:val="▷"/>
      <w:lvlJc w:val="left"/>
      <w:pPr>
        <w:ind w:left="1571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2234018"/>
    <w:multiLevelType w:val="hybridMultilevel"/>
    <w:tmpl w:val="155E202E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57A173E6"/>
    <w:multiLevelType w:val="multilevel"/>
    <w:tmpl w:val="8DCC5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BED6558"/>
    <w:multiLevelType w:val="hybridMultilevel"/>
    <w:tmpl w:val="4F68C86C"/>
    <w:lvl w:ilvl="0" w:tplc="B6A0C5D8">
      <w:start w:val="1"/>
      <w:numFmt w:val="bullet"/>
      <w:lvlText w:val="▷"/>
      <w:lvlJc w:val="left"/>
      <w:pPr>
        <w:ind w:left="1713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CF31F02"/>
    <w:multiLevelType w:val="hybridMultilevel"/>
    <w:tmpl w:val="6CE886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D4278FB"/>
    <w:multiLevelType w:val="hybridMultilevel"/>
    <w:tmpl w:val="24787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62B03"/>
    <w:multiLevelType w:val="hybridMultilevel"/>
    <w:tmpl w:val="9B023C44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67420EF9"/>
    <w:multiLevelType w:val="hybridMultilevel"/>
    <w:tmpl w:val="197617CE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67847E8D"/>
    <w:multiLevelType w:val="hybridMultilevel"/>
    <w:tmpl w:val="7782413E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566D4A"/>
    <w:multiLevelType w:val="hybridMultilevel"/>
    <w:tmpl w:val="FB302442"/>
    <w:lvl w:ilvl="0" w:tplc="B6A0C5D8">
      <w:start w:val="1"/>
      <w:numFmt w:val="bullet"/>
      <w:lvlText w:val="▷"/>
      <w:lvlJc w:val="left"/>
      <w:pPr>
        <w:ind w:left="1713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B101A7D"/>
    <w:multiLevelType w:val="hybridMultilevel"/>
    <w:tmpl w:val="B2F88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C219F"/>
    <w:multiLevelType w:val="hybridMultilevel"/>
    <w:tmpl w:val="3B4A0174"/>
    <w:lvl w:ilvl="0" w:tplc="B6A0C5D8">
      <w:start w:val="1"/>
      <w:numFmt w:val="bullet"/>
      <w:lvlText w:val="▷"/>
      <w:lvlJc w:val="left"/>
      <w:pPr>
        <w:ind w:left="1429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5093726"/>
    <w:multiLevelType w:val="hybridMultilevel"/>
    <w:tmpl w:val="D31688F6"/>
    <w:lvl w:ilvl="0" w:tplc="B6A0C5D8">
      <w:start w:val="1"/>
      <w:numFmt w:val="bullet"/>
      <w:lvlText w:val="▷"/>
      <w:lvlJc w:val="left"/>
      <w:pPr>
        <w:ind w:left="1713" w:hanging="360"/>
      </w:pPr>
      <w:rPr>
        <w:rFonts w:ascii="Cambria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D3F37A7"/>
    <w:multiLevelType w:val="hybridMultilevel"/>
    <w:tmpl w:val="61BAAC7C"/>
    <w:lvl w:ilvl="0" w:tplc="041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F424925"/>
    <w:multiLevelType w:val="hybridMultilevel"/>
    <w:tmpl w:val="AE14E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0"/>
  </w:num>
  <w:num w:numId="4">
    <w:abstractNumId w:val="22"/>
  </w:num>
  <w:num w:numId="5">
    <w:abstractNumId w:val="17"/>
  </w:num>
  <w:num w:numId="6">
    <w:abstractNumId w:val="6"/>
  </w:num>
  <w:num w:numId="7">
    <w:abstractNumId w:val="23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20"/>
  </w:num>
  <w:num w:numId="14">
    <w:abstractNumId w:val="12"/>
  </w:num>
  <w:num w:numId="15">
    <w:abstractNumId w:val="5"/>
  </w:num>
  <w:num w:numId="16">
    <w:abstractNumId w:val="21"/>
  </w:num>
  <w:num w:numId="17">
    <w:abstractNumId w:val="24"/>
  </w:num>
  <w:num w:numId="18">
    <w:abstractNumId w:val="15"/>
  </w:num>
  <w:num w:numId="19">
    <w:abstractNumId w:val="8"/>
  </w:num>
  <w:num w:numId="20">
    <w:abstractNumId w:val="13"/>
  </w:num>
  <w:num w:numId="21">
    <w:abstractNumId w:val="16"/>
  </w:num>
  <w:num w:numId="22">
    <w:abstractNumId w:val="18"/>
  </w:num>
  <w:num w:numId="23">
    <w:abstractNumId w:val="25"/>
  </w:num>
  <w:num w:numId="24">
    <w:abstractNumId w:val="7"/>
  </w:num>
  <w:num w:numId="25">
    <w:abstractNumId w:val="19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1"/>
    <w:rsid w:val="00092AF9"/>
    <w:rsid w:val="000D726D"/>
    <w:rsid w:val="00131598"/>
    <w:rsid w:val="00237F91"/>
    <w:rsid w:val="002B2A0E"/>
    <w:rsid w:val="002E1C0D"/>
    <w:rsid w:val="003351B1"/>
    <w:rsid w:val="00340AF9"/>
    <w:rsid w:val="003D71B8"/>
    <w:rsid w:val="003D7780"/>
    <w:rsid w:val="00432C38"/>
    <w:rsid w:val="00451F41"/>
    <w:rsid w:val="00487C23"/>
    <w:rsid w:val="005665C9"/>
    <w:rsid w:val="00587452"/>
    <w:rsid w:val="00645DC9"/>
    <w:rsid w:val="0065388E"/>
    <w:rsid w:val="00714DC6"/>
    <w:rsid w:val="00764AD4"/>
    <w:rsid w:val="0078749C"/>
    <w:rsid w:val="007C4068"/>
    <w:rsid w:val="007D544D"/>
    <w:rsid w:val="007E0753"/>
    <w:rsid w:val="00831FCE"/>
    <w:rsid w:val="008B0138"/>
    <w:rsid w:val="009A019D"/>
    <w:rsid w:val="009F5D36"/>
    <w:rsid w:val="00A672BB"/>
    <w:rsid w:val="00A9410F"/>
    <w:rsid w:val="00AC4593"/>
    <w:rsid w:val="00AD52B7"/>
    <w:rsid w:val="00B31DCC"/>
    <w:rsid w:val="00B87076"/>
    <w:rsid w:val="00BA5BA5"/>
    <w:rsid w:val="00BA6C5C"/>
    <w:rsid w:val="00BC1433"/>
    <w:rsid w:val="00BE3D98"/>
    <w:rsid w:val="00BF03C7"/>
    <w:rsid w:val="00C74810"/>
    <w:rsid w:val="00D52F11"/>
    <w:rsid w:val="00D70629"/>
    <w:rsid w:val="00EC3072"/>
    <w:rsid w:val="00F107E6"/>
    <w:rsid w:val="00F31282"/>
    <w:rsid w:val="00F42496"/>
    <w:rsid w:val="00F8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8A81EA"/>
  <w15:chartTrackingRefBased/>
  <w15:docId w15:val="{1B0E4D3A-99C4-4D54-81C8-A2E9C2C9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07E6"/>
    <w:pPr>
      <w:keepNext/>
      <w:keepLines/>
      <w:spacing w:before="480" w:after="0" w:line="276" w:lineRule="auto"/>
      <w:outlineLvl w:val="0"/>
    </w:pPr>
    <w:rPr>
      <w:rFonts w:ascii="Arial Black" w:eastAsiaTheme="majorEastAsia" w:hAnsi="Arial Black" w:cstheme="majorBidi"/>
      <w:b/>
      <w:bCs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107E6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1433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F107E6"/>
    <w:rPr>
      <w:rFonts w:ascii="Arial Black" w:eastAsiaTheme="majorEastAsia" w:hAnsi="Arial Black" w:cstheme="majorBidi"/>
      <w:b/>
      <w:bCs/>
      <w:sz w:val="28"/>
      <w:szCs w:val="28"/>
      <w:lang w:val="en-US"/>
    </w:rPr>
  </w:style>
  <w:style w:type="table" w:styleId="Reetkatablice">
    <w:name w:val="Table Grid"/>
    <w:basedOn w:val="Obinatablica"/>
    <w:uiPriority w:val="59"/>
    <w:rsid w:val="00092AF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87C23"/>
    <w:rPr>
      <w:color w:val="0563C1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107E6"/>
    <w:rPr>
      <w:rFonts w:eastAsiaTheme="majorEastAsia" w:cstheme="majorBidi"/>
      <w:b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D7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0629"/>
  </w:style>
  <w:style w:type="paragraph" w:styleId="Podnoje">
    <w:name w:val="footer"/>
    <w:basedOn w:val="Normal"/>
    <w:link w:val="PodnojeChar"/>
    <w:uiPriority w:val="99"/>
    <w:unhideWhenUsed/>
    <w:rsid w:val="00D7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0629"/>
  </w:style>
  <w:style w:type="paragraph" w:styleId="TOCNaslov">
    <w:name w:val="TOC Heading"/>
    <w:basedOn w:val="Naslov1"/>
    <w:next w:val="Normal"/>
    <w:uiPriority w:val="39"/>
    <w:unhideWhenUsed/>
    <w:qFormat/>
    <w:rsid w:val="007C4068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hr-HR"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C406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7C406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rucnaknjizara.com/products/osnove-tehnike-instalacija-vode-i-plina-3-izdanje-skupina-autora?srsltid=AfmBOoqVov6VK6jbvrQKQdkl2hVOPZWbyzwo4yie7wS7Vc25po2PglJ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A82C-E56F-407C-9377-E3433AF4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2025-11-04T21:04:00Z</dcterms:created>
  <dcterms:modified xsi:type="dcterms:W3CDTF">2025-11-04T22:31:00Z</dcterms:modified>
</cp:coreProperties>
</file>